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>
        <w:rPr>
          <w:rFonts w:ascii="Arial" w:eastAsia="Times New Roman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E99CE09" wp14:editId="1D8225A9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24EB7793" wp14:editId="7856F833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3B7CA667" wp14:editId="38088A38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5" name="Obrázok 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028A">
        <w:rPr>
          <w:rFonts w:eastAsia="Times New Roman" w:cs="Times New Roman"/>
          <w:sz w:val="20"/>
          <w:szCs w:val="20"/>
        </w:rPr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53217">
            <w:rPr>
              <w:rFonts w:eastAsia="Times New Roman" w:cs="Times New Roman"/>
              <w:b/>
              <w:sz w:val="40"/>
              <w:szCs w:val="20"/>
            </w:rPr>
            <w:t>24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8A7DBF">
            <w:rPr>
              <w:rFonts w:eastAsia="Times New Roman" w:cs="Times New Roman"/>
              <w:b/>
              <w:sz w:val="32"/>
              <w:szCs w:val="32"/>
            </w:rPr>
            <w:t>1</w:t>
          </w:r>
        </w:sdtContent>
      </w:sdt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9C2A72" w:rsidP="00253217">
            <w:pPr>
              <w:pStyle w:val="Hlavika"/>
              <w:rPr>
                <w:rFonts w:eastAsia="Times New Roman"/>
              </w:rPr>
            </w:pPr>
            <w:r>
              <w:t xml:space="preserve">Záverečná správa výzvy 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BC3621" w:rsidRPr="00FD028A" w:rsidRDefault="00BC3621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Úrad vlády SR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7E3D4D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88820667"/>
            <w:placeholder>
              <w:docPart w:val="17BA6A5741434F2D811F9E65707C120F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D26D8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id w:val="-1813329615"/>
            <w:placeholder>
              <w:docPart w:val="B6113643A03F47FD9AA1C6D0119BDC39"/>
            </w:placeholder>
            <w:date w:fullDate="2015-02-05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FD028A" w:rsidRPr="00FD028A" w:rsidRDefault="00D26D89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>05.02.2015</w:t>
                </w:r>
              </w:p>
            </w:tc>
          </w:sdtContent>
        </w:sdt>
      </w:tr>
      <w:tr w:rsidR="00FD028A" w:rsidRPr="00FD028A" w:rsidTr="00F06A27">
        <w:tc>
          <w:tcPr>
            <w:tcW w:w="2268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Ing. Igor Federič</w:t>
            </w:r>
          </w:p>
          <w:p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vedúci Úradu vlády SR</w:t>
            </w:r>
          </w:p>
        </w:tc>
      </w:tr>
    </w:tbl>
    <w:p w:rsidR="00FD028A" w:rsidRDefault="00FD028A" w:rsidP="00FD028A"/>
    <w:tbl>
      <w:tblPr>
        <w:tblStyle w:val="Mriekatabuky"/>
        <w:tblW w:w="10031" w:type="dxa"/>
        <w:jc w:val="center"/>
        <w:tblLook w:val="04A0" w:firstRow="1" w:lastRow="0" w:firstColumn="1" w:lastColumn="0" w:noHBand="0" w:noVBand="1"/>
      </w:tblPr>
      <w:tblGrid>
        <w:gridCol w:w="2088"/>
        <w:gridCol w:w="424"/>
        <w:gridCol w:w="1383"/>
        <w:gridCol w:w="20"/>
        <w:gridCol w:w="180"/>
        <w:gridCol w:w="394"/>
        <w:gridCol w:w="712"/>
        <w:gridCol w:w="571"/>
        <w:gridCol w:w="1288"/>
        <w:gridCol w:w="560"/>
        <w:gridCol w:w="925"/>
        <w:gridCol w:w="1486"/>
      </w:tblGrid>
      <w:tr w:rsidR="006E28C2" w:rsidRPr="006E28C2" w:rsidTr="00A050D2">
        <w:trPr>
          <w:trHeight w:val="724"/>
          <w:jc w:val="center"/>
        </w:trPr>
        <w:tc>
          <w:tcPr>
            <w:tcW w:w="10031" w:type="dxa"/>
            <w:gridSpan w:val="12"/>
            <w:shd w:val="clear" w:color="auto" w:fill="5F497A" w:themeFill="accent4" w:themeFillShade="BF"/>
            <w:vAlign w:val="center"/>
          </w:tcPr>
          <w:p w:rsidR="00FD028A" w:rsidRPr="00E01516" w:rsidRDefault="009C2A72" w:rsidP="00B5358A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E01516">
              <w:rPr>
                <w:b/>
                <w:color w:val="FFFFFF" w:themeColor="background1"/>
                <w:sz w:val="36"/>
                <w:szCs w:val="36"/>
              </w:rPr>
              <w:lastRenderedPageBreak/>
              <w:t>Záverečná správa výzvy</w:t>
            </w:r>
            <w:r w:rsidR="00534050" w:rsidRPr="00E01516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A050D2" w:rsidTr="00A050D2">
        <w:trPr>
          <w:trHeight w:val="282"/>
          <w:jc w:val="center"/>
        </w:trPr>
        <w:tc>
          <w:tcPr>
            <w:tcW w:w="3915" w:type="dxa"/>
            <w:gridSpan w:val="4"/>
          </w:tcPr>
          <w:p w:rsidR="00A050D2" w:rsidRDefault="00A050D2" w:rsidP="00F90D3F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6116" w:type="dxa"/>
            <w:gridSpan w:val="8"/>
          </w:tcPr>
          <w:p w:rsidR="00A050D2" w:rsidRDefault="00A050D2" w:rsidP="00A050D2">
            <w:pPr>
              <w:tabs>
                <w:tab w:val="left" w:pos="1695"/>
              </w:tabs>
            </w:pPr>
          </w:p>
        </w:tc>
      </w:tr>
      <w:tr w:rsidR="00A050D2" w:rsidTr="00A050D2">
        <w:trPr>
          <w:trHeight w:val="261"/>
          <w:jc w:val="center"/>
        </w:trPr>
        <w:tc>
          <w:tcPr>
            <w:tcW w:w="3915" w:type="dxa"/>
            <w:gridSpan w:val="4"/>
          </w:tcPr>
          <w:p w:rsidR="00A050D2" w:rsidRDefault="00A050D2" w:rsidP="00F90D3F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6116" w:type="dxa"/>
            <w:gridSpan w:val="8"/>
          </w:tcPr>
          <w:p w:rsidR="00A050D2" w:rsidRDefault="00A050D2" w:rsidP="00A050D2">
            <w:pPr>
              <w:tabs>
                <w:tab w:val="left" w:pos="1695"/>
              </w:tabs>
            </w:pPr>
          </w:p>
        </w:tc>
      </w:tr>
      <w:tr w:rsidR="00A050D2" w:rsidTr="00A050D2">
        <w:trPr>
          <w:trHeight w:val="240"/>
          <w:jc w:val="center"/>
        </w:trPr>
        <w:tc>
          <w:tcPr>
            <w:tcW w:w="3915" w:type="dxa"/>
            <w:gridSpan w:val="4"/>
          </w:tcPr>
          <w:p w:rsidR="00A050D2" w:rsidRDefault="00A050D2" w:rsidP="00F90D3F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6116" w:type="dxa"/>
            <w:gridSpan w:val="8"/>
          </w:tcPr>
          <w:p w:rsidR="00A050D2" w:rsidRDefault="00A050D2" w:rsidP="00A050D2">
            <w:pPr>
              <w:tabs>
                <w:tab w:val="left" w:pos="1695"/>
              </w:tabs>
            </w:pPr>
          </w:p>
        </w:tc>
      </w:tr>
      <w:tr w:rsidR="00A050D2" w:rsidTr="00A050D2">
        <w:trPr>
          <w:trHeight w:val="255"/>
          <w:jc w:val="center"/>
        </w:trPr>
        <w:tc>
          <w:tcPr>
            <w:tcW w:w="3915" w:type="dxa"/>
            <w:gridSpan w:val="4"/>
          </w:tcPr>
          <w:p w:rsidR="00A050D2" w:rsidRDefault="00A050D2" w:rsidP="00F06A27">
            <w:pPr>
              <w:tabs>
                <w:tab w:val="left" w:pos="1701"/>
              </w:tabs>
            </w:pPr>
            <w:r>
              <w:t>Posudzované časové obdobie výzvy</w:t>
            </w:r>
            <w:r>
              <w:rPr>
                <w:rStyle w:val="Odkaznapoznmkupodiarou"/>
              </w:rPr>
              <w:footnoteReference w:id="2"/>
            </w:r>
            <w:r>
              <w:t>:</w:t>
            </w:r>
          </w:p>
        </w:tc>
        <w:tc>
          <w:tcPr>
            <w:tcW w:w="6116" w:type="dxa"/>
            <w:gridSpan w:val="8"/>
          </w:tcPr>
          <w:p w:rsidR="00A050D2" w:rsidRDefault="00A050D2" w:rsidP="00A050D2">
            <w:pPr>
              <w:tabs>
                <w:tab w:val="left" w:pos="1701"/>
              </w:tabs>
            </w:pPr>
          </w:p>
        </w:tc>
      </w:tr>
      <w:tr w:rsidR="00A050D2" w:rsidTr="00A050D2">
        <w:trPr>
          <w:trHeight w:val="270"/>
          <w:jc w:val="center"/>
        </w:trPr>
        <w:tc>
          <w:tcPr>
            <w:tcW w:w="3915" w:type="dxa"/>
            <w:gridSpan w:val="4"/>
          </w:tcPr>
          <w:p w:rsidR="00A050D2" w:rsidRDefault="00A050D2" w:rsidP="00B60198">
            <w:pPr>
              <w:tabs>
                <w:tab w:val="left" w:pos="1701"/>
              </w:tabs>
            </w:pPr>
            <w:r>
              <w:t>Kód výzvy:</w:t>
            </w:r>
          </w:p>
        </w:tc>
        <w:tc>
          <w:tcPr>
            <w:tcW w:w="6116" w:type="dxa"/>
            <w:gridSpan w:val="8"/>
          </w:tcPr>
          <w:p w:rsidR="00A050D2" w:rsidRDefault="00A050D2" w:rsidP="00A050D2">
            <w:pPr>
              <w:tabs>
                <w:tab w:val="left" w:pos="1701"/>
              </w:tabs>
            </w:pPr>
          </w:p>
        </w:tc>
      </w:tr>
      <w:tr w:rsidR="00A050D2" w:rsidTr="00A050D2">
        <w:trPr>
          <w:trHeight w:val="570"/>
          <w:jc w:val="center"/>
        </w:trPr>
        <w:tc>
          <w:tcPr>
            <w:tcW w:w="3915" w:type="dxa"/>
            <w:gridSpan w:val="4"/>
          </w:tcPr>
          <w:p w:rsidR="00A050D2" w:rsidRDefault="00A050D2" w:rsidP="00B60198">
            <w:pPr>
              <w:tabs>
                <w:tab w:val="left" w:pos="1701"/>
              </w:tabs>
            </w:pPr>
            <w:r>
              <w:t xml:space="preserve">Kód súvisiacej výzvy </w:t>
            </w:r>
          </w:p>
          <w:p w:rsidR="00A050D2" w:rsidRDefault="00A050D2" w:rsidP="00B60198">
            <w:pPr>
              <w:tabs>
                <w:tab w:val="left" w:pos="1701"/>
              </w:tabs>
            </w:pPr>
            <w:r>
              <w:t>na predkladanie PZ</w:t>
            </w:r>
            <w:r>
              <w:rPr>
                <w:rStyle w:val="Odkaznapoznmkupodiarou"/>
              </w:rPr>
              <w:footnoteReference w:id="3"/>
            </w:r>
            <w:r>
              <w:t>:</w:t>
            </w:r>
          </w:p>
        </w:tc>
        <w:tc>
          <w:tcPr>
            <w:tcW w:w="6116" w:type="dxa"/>
            <w:gridSpan w:val="8"/>
          </w:tcPr>
          <w:p w:rsidR="00A050D2" w:rsidRDefault="00A050D2"/>
          <w:p w:rsidR="00A050D2" w:rsidRDefault="00A050D2" w:rsidP="00A050D2">
            <w:pPr>
              <w:tabs>
                <w:tab w:val="left" w:pos="1701"/>
              </w:tabs>
            </w:pPr>
          </w:p>
        </w:tc>
      </w:tr>
      <w:tr w:rsidR="00FD028A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FD028A" w:rsidRPr="00517659" w:rsidRDefault="009C2A72" w:rsidP="0058054B">
            <w:pPr>
              <w:jc w:val="center"/>
              <w:rPr>
                <w:b/>
              </w:rPr>
            </w:pPr>
            <w:r>
              <w:rPr>
                <w:b/>
              </w:rPr>
              <w:t>Súhrnné informácie o</w:t>
            </w:r>
            <w:r w:rsidR="0058054B">
              <w:rPr>
                <w:b/>
              </w:rPr>
              <w:t> </w:t>
            </w:r>
            <w:r>
              <w:rPr>
                <w:b/>
              </w:rPr>
              <w:t>ŽoNFP</w:t>
            </w:r>
            <w:r w:rsidR="0058054B">
              <w:rPr>
                <w:b/>
              </w:rPr>
              <w:t>, ktoré boli predmetom administratívneho overenia</w:t>
            </w:r>
          </w:p>
        </w:tc>
      </w:tr>
      <w:tr w:rsidR="009C2A72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9C2A72" w:rsidRDefault="009C2A72" w:rsidP="009C2A72">
            <w:r>
              <w:t xml:space="preserve">Počet prijatých ŽoNFP </w:t>
            </w:r>
          </w:p>
        </w:tc>
        <w:tc>
          <w:tcPr>
            <w:tcW w:w="5936" w:type="dxa"/>
            <w:gridSpan w:val="7"/>
          </w:tcPr>
          <w:p w:rsidR="009C2A72" w:rsidRPr="0024799D" w:rsidRDefault="009C2A72" w:rsidP="00F06A27">
            <w:pPr>
              <w:jc w:val="center"/>
              <w:rPr>
                <w:b/>
              </w:rPr>
            </w:pPr>
          </w:p>
        </w:tc>
      </w:tr>
      <w:tr w:rsidR="00D70A1F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D70A1F" w:rsidRDefault="00D70A1F" w:rsidP="00A33CB1">
            <w:r>
              <w:t>Počet ŽoNFP</w:t>
            </w:r>
            <w:r w:rsidR="00036B26">
              <w:t>,</w:t>
            </w:r>
            <w:r>
              <w:t xml:space="preserve"> pri ktorých došlo k zastaveniu konania o ŽoNFP</w:t>
            </w:r>
          </w:p>
        </w:tc>
        <w:tc>
          <w:tcPr>
            <w:tcW w:w="5936" w:type="dxa"/>
            <w:gridSpan w:val="7"/>
          </w:tcPr>
          <w:p w:rsidR="00D70A1F" w:rsidRDefault="00D70A1F" w:rsidP="00A33CB1"/>
        </w:tc>
      </w:tr>
      <w:tr w:rsidR="009C2A72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9C2A72" w:rsidRDefault="009C2A72" w:rsidP="00D70A1F">
            <w:r>
              <w:t xml:space="preserve">Počet ŽoNFP, ktoré nesplnili podmienky poskytnutia príspevku </w:t>
            </w:r>
            <w:r w:rsidR="0094416F">
              <w:t xml:space="preserve">vo fáze administratívneho overenia </w:t>
            </w:r>
            <w:r w:rsidR="00D70A1F">
              <w:t>a bolo vydané rozhodnutie o neschválení ŽoNFP</w:t>
            </w:r>
          </w:p>
        </w:tc>
        <w:tc>
          <w:tcPr>
            <w:tcW w:w="5936" w:type="dxa"/>
            <w:gridSpan w:val="7"/>
          </w:tcPr>
          <w:p w:rsidR="009C2A72" w:rsidRDefault="009C2A72" w:rsidP="00F06A27"/>
        </w:tc>
      </w:tr>
      <w:tr w:rsidR="0058054B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58054B" w:rsidRDefault="0058054B" w:rsidP="00A33CB1">
            <w:r>
              <w:t>Počet ŽoNFP</w:t>
            </w:r>
            <w:r w:rsidR="00036B26">
              <w:t>,</w:t>
            </w:r>
            <w:r>
              <w:t xml:space="preserve"> pri ktorých bola využitá výzva na doplnenie chýbajúcich náležitostí</w:t>
            </w:r>
          </w:p>
        </w:tc>
        <w:tc>
          <w:tcPr>
            <w:tcW w:w="5936" w:type="dxa"/>
            <w:gridSpan w:val="7"/>
          </w:tcPr>
          <w:p w:rsidR="0058054B" w:rsidRDefault="0058054B" w:rsidP="00A33CB1"/>
        </w:tc>
      </w:tr>
      <w:tr w:rsidR="009C2A72" w:rsidTr="00A050D2">
        <w:trPr>
          <w:jc w:val="center"/>
        </w:trPr>
        <w:tc>
          <w:tcPr>
            <w:tcW w:w="10031" w:type="dxa"/>
            <w:gridSpan w:val="12"/>
          </w:tcPr>
          <w:p w:rsidR="009C2A72" w:rsidRDefault="009C2A72" w:rsidP="00F06A27"/>
        </w:tc>
      </w:tr>
      <w:tr w:rsidR="009C2A72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9C2A72" w:rsidRPr="0058054B" w:rsidRDefault="0058054B" w:rsidP="0058054B">
            <w:pPr>
              <w:jc w:val="center"/>
              <w:rPr>
                <w:b/>
              </w:rPr>
            </w:pPr>
            <w:r w:rsidRPr="0058054B">
              <w:rPr>
                <w:b/>
              </w:rPr>
              <w:t>Výsledky administratívneho overenia:</w:t>
            </w:r>
          </w:p>
        </w:tc>
      </w:tr>
      <w:tr w:rsidR="00A92659" w:rsidTr="00A050D2">
        <w:trPr>
          <w:trHeight w:val="1103"/>
          <w:jc w:val="center"/>
        </w:trPr>
        <w:tc>
          <w:tcPr>
            <w:tcW w:w="2088" w:type="dxa"/>
            <w:vMerge w:val="restart"/>
            <w:shd w:val="clear" w:color="auto" w:fill="CCC0D9" w:themeFill="accent4" w:themeFillTint="66"/>
          </w:tcPr>
          <w:p w:rsidR="00A92659" w:rsidRDefault="00A92659" w:rsidP="00F06A27">
            <w:r>
              <w:t xml:space="preserve">Celkový počet prijatých ŽoNFP </w:t>
            </w:r>
          </w:p>
        </w:tc>
        <w:tc>
          <w:tcPr>
            <w:tcW w:w="2401" w:type="dxa"/>
            <w:gridSpan w:val="5"/>
            <w:shd w:val="clear" w:color="auto" w:fill="CCC0D9" w:themeFill="accent4" w:themeFillTint="66"/>
          </w:tcPr>
          <w:p w:rsidR="00A92659" w:rsidRDefault="00A92659" w:rsidP="00F06A27">
            <w:r>
              <w:t>Celková výška NFP za prijaté ŽoNFP</w:t>
            </w:r>
          </w:p>
        </w:tc>
        <w:tc>
          <w:tcPr>
            <w:tcW w:w="1283" w:type="dxa"/>
            <w:gridSpan w:val="2"/>
            <w:vMerge w:val="restart"/>
            <w:shd w:val="clear" w:color="auto" w:fill="CCC0D9" w:themeFill="accent4" w:themeFillTint="66"/>
          </w:tcPr>
          <w:p w:rsidR="00A92659" w:rsidRDefault="00A92659" w:rsidP="007C66C2">
            <w:r>
              <w:t>Celkový počet ŽoNFP, ktoré post</w:t>
            </w:r>
            <w:r w:rsidR="007C66C2">
              <w:t xml:space="preserve">úpili </w:t>
            </w:r>
            <w:r>
              <w:t>do odborného hodnotenia</w:t>
            </w:r>
          </w:p>
        </w:tc>
        <w:tc>
          <w:tcPr>
            <w:tcW w:w="1288" w:type="dxa"/>
            <w:vMerge w:val="restart"/>
            <w:shd w:val="clear" w:color="auto" w:fill="CCC0D9" w:themeFill="accent4" w:themeFillTint="66"/>
          </w:tcPr>
          <w:p w:rsidR="00A92659" w:rsidRDefault="00A92659" w:rsidP="007C66C2">
            <w:r w:rsidRPr="0094416F">
              <w:t>Celková</w:t>
            </w:r>
            <w:r w:rsidR="007C66C2">
              <w:t xml:space="preserve"> výška NFP za ŽoNFP, ktoré postúpili </w:t>
            </w:r>
            <w:r w:rsidRPr="0094416F">
              <w:t>do odborného hodnotenia</w:t>
            </w:r>
          </w:p>
        </w:tc>
        <w:tc>
          <w:tcPr>
            <w:tcW w:w="1485" w:type="dxa"/>
            <w:gridSpan w:val="2"/>
            <w:vMerge w:val="restart"/>
            <w:shd w:val="clear" w:color="auto" w:fill="CCC0D9" w:themeFill="accent4" w:themeFillTint="66"/>
          </w:tcPr>
          <w:p w:rsidR="00A92659" w:rsidRDefault="00A92659" w:rsidP="00F06A27">
            <w:r>
              <w:t>Celkov</w:t>
            </w:r>
            <w:r w:rsidR="007C66C2">
              <w:t>ý počet ŽoNFP, ktoré nepostúpili</w:t>
            </w:r>
            <w:r>
              <w:rPr>
                <w:rStyle w:val="Odkaznapoznmkupodiarou"/>
              </w:rPr>
              <w:footnoteReference w:id="4"/>
            </w:r>
            <w:r>
              <w:t xml:space="preserve"> do odborného hodnotenia</w:t>
            </w:r>
          </w:p>
        </w:tc>
        <w:tc>
          <w:tcPr>
            <w:tcW w:w="1486" w:type="dxa"/>
            <w:vMerge w:val="restart"/>
            <w:shd w:val="clear" w:color="auto" w:fill="CCC0D9" w:themeFill="accent4" w:themeFillTint="66"/>
          </w:tcPr>
          <w:p w:rsidR="00A92659" w:rsidRDefault="00A92659" w:rsidP="00F06A27">
            <w:r w:rsidRPr="0094416F">
              <w:t xml:space="preserve">Celková výška NFP za ŽoNFP, ktoré </w:t>
            </w:r>
            <w:r>
              <w:t>ne</w:t>
            </w:r>
            <w:r w:rsidR="007C66C2">
              <w:t>postúpili</w:t>
            </w:r>
            <w:r w:rsidRPr="0094416F">
              <w:t xml:space="preserve"> do odborného hodnotenia</w:t>
            </w:r>
          </w:p>
        </w:tc>
      </w:tr>
      <w:tr w:rsidR="00A92659" w:rsidTr="007C66C2">
        <w:trPr>
          <w:trHeight w:val="1102"/>
          <w:jc w:val="center"/>
        </w:trPr>
        <w:tc>
          <w:tcPr>
            <w:tcW w:w="2088" w:type="dxa"/>
            <w:vMerge/>
            <w:shd w:val="clear" w:color="auto" w:fill="CCC0D9" w:themeFill="accent4" w:themeFillTint="66"/>
          </w:tcPr>
          <w:p w:rsidR="00A92659" w:rsidRDefault="00A92659" w:rsidP="00F06A27"/>
        </w:tc>
        <w:tc>
          <w:tcPr>
            <w:tcW w:w="2401" w:type="dxa"/>
            <w:gridSpan w:val="5"/>
            <w:shd w:val="clear" w:color="auto" w:fill="auto"/>
          </w:tcPr>
          <w:p w:rsidR="00A92659" w:rsidRDefault="00A92659" w:rsidP="00F06A27"/>
        </w:tc>
        <w:tc>
          <w:tcPr>
            <w:tcW w:w="1283" w:type="dxa"/>
            <w:gridSpan w:val="2"/>
            <w:vMerge/>
            <w:shd w:val="clear" w:color="auto" w:fill="CCC0D9" w:themeFill="accent4" w:themeFillTint="66"/>
          </w:tcPr>
          <w:p w:rsidR="00A92659" w:rsidRDefault="00A92659" w:rsidP="00F06A27"/>
        </w:tc>
        <w:tc>
          <w:tcPr>
            <w:tcW w:w="1288" w:type="dxa"/>
            <w:vMerge/>
            <w:shd w:val="clear" w:color="auto" w:fill="CCC0D9" w:themeFill="accent4" w:themeFillTint="66"/>
          </w:tcPr>
          <w:p w:rsidR="00A92659" w:rsidRPr="0094416F" w:rsidRDefault="00A92659" w:rsidP="00F06A27"/>
        </w:tc>
        <w:tc>
          <w:tcPr>
            <w:tcW w:w="1485" w:type="dxa"/>
            <w:gridSpan w:val="2"/>
            <w:vMerge/>
            <w:shd w:val="clear" w:color="auto" w:fill="CCC0D9" w:themeFill="accent4" w:themeFillTint="66"/>
          </w:tcPr>
          <w:p w:rsidR="00A92659" w:rsidRDefault="00A92659" w:rsidP="00F06A27"/>
        </w:tc>
        <w:tc>
          <w:tcPr>
            <w:tcW w:w="1486" w:type="dxa"/>
            <w:vMerge/>
            <w:shd w:val="clear" w:color="auto" w:fill="CCC0D9" w:themeFill="accent4" w:themeFillTint="66"/>
          </w:tcPr>
          <w:p w:rsidR="00A92659" w:rsidRPr="0094416F" w:rsidRDefault="00A92659" w:rsidP="00F06A27"/>
        </w:tc>
      </w:tr>
      <w:tr w:rsidR="00A92659" w:rsidTr="007C66C2">
        <w:trPr>
          <w:trHeight w:val="135"/>
          <w:jc w:val="center"/>
        </w:trPr>
        <w:tc>
          <w:tcPr>
            <w:tcW w:w="2088" w:type="dxa"/>
            <w:vMerge w:val="restart"/>
            <w:shd w:val="clear" w:color="auto" w:fill="FFFFFF" w:themeFill="background1"/>
          </w:tcPr>
          <w:p w:rsidR="00A92659" w:rsidRDefault="00A92659" w:rsidP="00F06A27"/>
        </w:tc>
        <w:tc>
          <w:tcPr>
            <w:tcW w:w="2401" w:type="dxa"/>
            <w:gridSpan w:val="5"/>
            <w:shd w:val="clear" w:color="auto" w:fill="CCC0D9" w:themeFill="accent4" w:themeFillTint="66"/>
          </w:tcPr>
          <w:p w:rsidR="00A92659" w:rsidRDefault="007C66C2" w:rsidP="00F06A27">
            <w:r>
              <w:t>Z toho zdroje EÚ</w:t>
            </w:r>
          </w:p>
        </w:tc>
        <w:tc>
          <w:tcPr>
            <w:tcW w:w="1283" w:type="dxa"/>
            <w:gridSpan w:val="2"/>
            <w:vMerge w:val="restart"/>
            <w:shd w:val="clear" w:color="auto" w:fill="FFFFFF" w:themeFill="background1"/>
          </w:tcPr>
          <w:p w:rsidR="00A92659" w:rsidRDefault="00A92659" w:rsidP="00F06A27"/>
        </w:tc>
        <w:tc>
          <w:tcPr>
            <w:tcW w:w="1288" w:type="dxa"/>
            <w:vMerge w:val="restart"/>
            <w:shd w:val="clear" w:color="auto" w:fill="FFFFFF" w:themeFill="background1"/>
          </w:tcPr>
          <w:p w:rsidR="00A92659" w:rsidRDefault="00A92659" w:rsidP="00F06A27"/>
        </w:tc>
        <w:tc>
          <w:tcPr>
            <w:tcW w:w="1485" w:type="dxa"/>
            <w:gridSpan w:val="2"/>
            <w:vMerge w:val="restart"/>
            <w:shd w:val="clear" w:color="auto" w:fill="FFFFFF" w:themeFill="background1"/>
          </w:tcPr>
          <w:p w:rsidR="00A92659" w:rsidRDefault="00A92659" w:rsidP="00F06A27"/>
        </w:tc>
        <w:tc>
          <w:tcPr>
            <w:tcW w:w="1486" w:type="dxa"/>
            <w:vMerge w:val="restart"/>
            <w:shd w:val="clear" w:color="auto" w:fill="FFFFFF" w:themeFill="background1"/>
          </w:tcPr>
          <w:p w:rsidR="00A92659" w:rsidRDefault="00A92659" w:rsidP="00F06A27"/>
        </w:tc>
      </w:tr>
      <w:tr w:rsidR="00A92659" w:rsidTr="00A050D2">
        <w:trPr>
          <w:trHeight w:val="135"/>
          <w:jc w:val="center"/>
        </w:trPr>
        <w:tc>
          <w:tcPr>
            <w:tcW w:w="2088" w:type="dxa"/>
            <w:vMerge/>
            <w:shd w:val="clear" w:color="auto" w:fill="FFFFFF" w:themeFill="background1"/>
          </w:tcPr>
          <w:p w:rsidR="00A92659" w:rsidRDefault="00A92659" w:rsidP="00F06A27"/>
        </w:tc>
        <w:tc>
          <w:tcPr>
            <w:tcW w:w="2401" w:type="dxa"/>
            <w:gridSpan w:val="5"/>
            <w:shd w:val="clear" w:color="auto" w:fill="FFFFFF" w:themeFill="background1"/>
          </w:tcPr>
          <w:p w:rsidR="00A92659" w:rsidRDefault="00A92659" w:rsidP="00F06A27"/>
        </w:tc>
        <w:tc>
          <w:tcPr>
            <w:tcW w:w="1283" w:type="dxa"/>
            <w:gridSpan w:val="2"/>
            <w:vMerge/>
            <w:shd w:val="clear" w:color="auto" w:fill="FFFFFF" w:themeFill="background1"/>
          </w:tcPr>
          <w:p w:rsidR="00A92659" w:rsidRDefault="00A92659" w:rsidP="00F06A27"/>
        </w:tc>
        <w:tc>
          <w:tcPr>
            <w:tcW w:w="1288" w:type="dxa"/>
            <w:vMerge/>
            <w:shd w:val="clear" w:color="auto" w:fill="FFFFFF" w:themeFill="background1"/>
          </w:tcPr>
          <w:p w:rsidR="00A92659" w:rsidRDefault="00A92659" w:rsidP="00F06A27"/>
        </w:tc>
        <w:tc>
          <w:tcPr>
            <w:tcW w:w="1485" w:type="dxa"/>
            <w:gridSpan w:val="2"/>
            <w:vMerge/>
            <w:shd w:val="clear" w:color="auto" w:fill="FFFFFF" w:themeFill="background1"/>
          </w:tcPr>
          <w:p w:rsidR="00A92659" w:rsidRDefault="00A92659" w:rsidP="00F06A27"/>
        </w:tc>
        <w:tc>
          <w:tcPr>
            <w:tcW w:w="1486" w:type="dxa"/>
            <w:vMerge/>
            <w:shd w:val="clear" w:color="auto" w:fill="FFFFFF" w:themeFill="background1"/>
          </w:tcPr>
          <w:p w:rsidR="00A92659" w:rsidRDefault="00A92659" w:rsidP="00F06A27"/>
        </w:tc>
      </w:tr>
      <w:tr w:rsidR="009C2A72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9C2A72" w:rsidRPr="00D70A1F" w:rsidRDefault="00D70A1F" w:rsidP="00F06A27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5"/>
            </w:r>
            <w:r w:rsidRPr="00D70A1F">
              <w:rPr>
                <w:b/>
              </w:rPr>
              <w:t>:</w:t>
            </w:r>
          </w:p>
        </w:tc>
      </w:tr>
      <w:tr w:rsidR="009C2A72" w:rsidTr="00A050D2">
        <w:trPr>
          <w:jc w:val="center"/>
        </w:trPr>
        <w:tc>
          <w:tcPr>
            <w:tcW w:w="10031" w:type="dxa"/>
            <w:gridSpan w:val="12"/>
          </w:tcPr>
          <w:p w:rsidR="009C2A72" w:rsidRDefault="009C2A72" w:rsidP="00F06A27"/>
        </w:tc>
      </w:tr>
      <w:tr w:rsidR="00D70A1F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D70A1F" w:rsidRPr="00517659" w:rsidRDefault="00D70A1F" w:rsidP="00D70A1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Súhrnné informácie o ŽoNFP, ktoré boli predmetom odborného hodnotenia</w:t>
            </w:r>
          </w:p>
        </w:tc>
      </w:tr>
      <w:tr w:rsidR="00D70A1F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D70A1F" w:rsidRDefault="00D70A1F" w:rsidP="00D70A1F">
            <w:r>
              <w:t>Počet ŽoNFP, ktoré boli predmetom odborného hodnotenia</w:t>
            </w:r>
          </w:p>
        </w:tc>
        <w:tc>
          <w:tcPr>
            <w:tcW w:w="5936" w:type="dxa"/>
            <w:gridSpan w:val="7"/>
          </w:tcPr>
          <w:p w:rsidR="00D70A1F" w:rsidRPr="0024799D" w:rsidRDefault="00D70A1F" w:rsidP="00A33CB1">
            <w:pPr>
              <w:jc w:val="center"/>
              <w:rPr>
                <w:b/>
              </w:rPr>
            </w:pPr>
          </w:p>
        </w:tc>
      </w:tr>
      <w:tr w:rsidR="00D70A1F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D70A1F" w:rsidRDefault="00D70A1F" w:rsidP="00A33CB1">
            <w:r>
              <w:t>Počet ŽoNFP pri ktorých došlo k zastaveniu konania o ŽoNFP</w:t>
            </w:r>
          </w:p>
        </w:tc>
        <w:tc>
          <w:tcPr>
            <w:tcW w:w="5936" w:type="dxa"/>
            <w:gridSpan w:val="7"/>
          </w:tcPr>
          <w:p w:rsidR="00D70A1F" w:rsidRDefault="00D70A1F" w:rsidP="00A33CB1"/>
        </w:tc>
      </w:tr>
      <w:tr w:rsidR="00D70A1F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D70A1F" w:rsidRDefault="00D70A1F" w:rsidP="00D70A1F">
            <w:r>
              <w:t>Počet ŽoNFP, ktoré nesplnili podmienky odborného hodnotenia a bolo vydané rozhodnutie o neschválení ŽoNFP</w:t>
            </w:r>
          </w:p>
        </w:tc>
        <w:tc>
          <w:tcPr>
            <w:tcW w:w="5936" w:type="dxa"/>
            <w:gridSpan w:val="7"/>
          </w:tcPr>
          <w:p w:rsidR="00D70A1F" w:rsidRDefault="00D70A1F" w:rsidP="00A33CB1"/>
        </w:tc>
      </w:tr>
      <w:tr w:rsidR="00D70A1F" w:rsidTr="00A050D2">
        <w:trPr>
          <w:jc w:val="center"/>
        </w:trPr>
        <w:tc>
          <w:tcPr>
            <w:tcW w:w="10031" w:type="dxa"/>
            <w:gridSpan w:val="12"/>
          </w:tcPr>
          <w:p w:rsidR="00D70A1F" w:rsidRDefault="00D70A1F" w:rsidP="00A33CB1"/>
        </w:tc>
      </w:tr>
      <w:tr w:rsidR="00D70A1F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D70A1F" w:rsidRPr="0058054B" w:rsidRDefault="00D70A1F" w:rsidP="00D70A1F">
            <w:pPr>
              <w:jc w:val="center"/>
              <w:rPr>
                <w:b/>
              </w:rPr>
            </w:pPr>
            <w:r w:rsidRPr="0058054B">
              <w:rPr>
                <w:b/>
              </w:rPr>
              <w:t xml:space="preserve">Výsledky </w:t>
            </w:r>
            <w:r>
              <w:rPr>
                <w:b/>
              </w:rPr>
              <w:t>odborného hodnotenia</w:t>
            </w:r>
            <w:r w:rsidRPr="0058054B">
              <w:rPr>
                <w:b/>
              </w:rPr>
              <w:t>:</w:t>
            </w:r>
          </w:p>
        </w:tc>
      </w:tr>
      <w:tr w:rsidR="00D70A1F" w:rsidTr="00A050D2">
        <w:trPr>
          <w:jc w:val="center"/>
        </w:trPr>
        <w:tc>
          <w:tcPr>
            <w:tcW w:w="2512" w:type="dxa"/>
            <w:gridSpan w:val="2"/>
            <w:shd w:val="clear" w:color="auto" w:fill="CCC0D9" w:themeFill="accent4" w:themeFillTint="66"/>
          </w:tcPr>
          <w:p w:rsidR="00D70A1F" w:rsidRDefault="00D70A1F" w:rsidP="00B5358A">
            <w:r>
              <w:t>Počet ŽoNFP, ktoré splnili podmienky odborného hodnotenia</w:t>
            </w:r>
            <w:r w:rsidR="0094416F">
              <w:t xml:space="preserve"> a </w:t>
            </w:r>
            <w:r w:rsidR="00B5358A">
              <w:t>boli</w:t>
            </w:r>
            <w:r w:rsidR="0094416F">
              <w:t xml:space="preserve"> predmetom výberu</w:t>
            </w:r>
            <w:r>
              <w:t xml:space="preserve">  </w:t>
            </w:r>
          </w:p>
        </w:tc>
        <w:tc>
          <w:tcPr>
            <w:tcW w:w="2689" w:type="dxa"/>
            <w:gridSpan w:val="5"/>
            <w:shd w:val="clear" w:color="auto" w:fill="CCC0D9" w:themeFill="accent4" w:themeFillTint="66"/>
          </w:tcPr>
          <w:p w:rsidR="00D70A1F" w:rsidRDefault="00D70A1F" w:rsidP="00B5358A">
            <w:r>
              <w:t>Celková výška NFP za ŽoNFP, ktoré splnili podmienky odborného hodnotenia</w:t>
            </w:r>
            <w:r w:rsidR="0094416F">
              <w:t xml:space="preserve"> a</w:t>
            </w:r>
            <w:r w:rsidR="00B5358A">
              <w:t xml:space="preserve"> boli </w:t>
            </w:r>
            <w:r w:rsidR="0094416F">
              <w:t>predmetom výberu</w:t>
            </w:r>
          </w:p>
        </w:tc>
        <w:tc>
          <w:tcPr>
            <w:tcW w:w="2419" w:type="dxa"/>
            <w:gridSpan w:val="3"/>
            <w:shd w:val="clear" w:color="auto" w:fill="CCC0D9" w:themeFill="accent4" w:themeFillTint="66"/>
          </w:tcPr>
          <w:p w:rsidR="00D70A1F" w:rsidRDefault="007C66C2" w:rsidP="00A33CB1">
            <w:r>
              <w:t>Počet ŽoNFP, ktoré nepostúpili</w:t>
            </w:r>
            <w:r w:rsidR="00D70A1F">
              <w:t xml:space="preserve"> do fázy výberu ŽoNFP</w:t>
            </w:r>
            <w:r w:rsidR="00D70A1F">
              <w:rPr>
                <w:rStyle w:val="Odkaznapoznmkupodiarou"/>
              </w:rPr>
              <w:footnoteReference w:id="6"/>
            </w:r>
          </w:p>
        </w:tc>
        <w:tc>
          <w:tcPr>
            <w:tcW w:w="2411" w:type="dxa"/>
            <w:gridSpan w:val="2"/>
            <w:shd w:val="clear" w:color="auto" w:fill="CCC0D9" w:themeFill="accent4" w:themeFillTint="66"/>
          </w:tcPr>
          <w:p w:rsidR="00D70A1F" w:rsidRDefault="00D70A1F" w:rsidP="00D70A1F">
            <w:r>
              <w:t>Celková výška</w:t>
            </w:r>
            <w:r w:rsidR="007C66C2">
              <w:t xml:space="preserve"> NFP za ŽoNFP, ktoré nepostúpili</w:t>
            </w:r>
            <w:r>
              <w:t xml:space="preserve"> do fázy výberu ŽoNFP</w:t>
            </w:r>
          </w:p>
          <w:p w:rsidR="00D70A1F" w:rsidRDefault="00D70A1F" w:rsidP="00A33CB1"/>
        </w:tc>
      </w:tr>
      <w:tr w:rsidR="00EA2552" w:rsidTr="00A050D2">
        <w:trPr>
          <w:jc w:val="center"/>
        </w:trPr>
        <w:tc>
          <w:tcPr>
            <w:tcW w:w="2512" w:type="dxa"/>
            <w:gridSpan w:val="2"/>
            <w:shd w:val="clear" w:color="auto" w:fill="auto"/>
          </w:tcPr>
          <w:p w:rsidR="00EA2552" w:rsidRDefault="00EA2552" w:rsidP="007C73D3"/>
        </w:tc>
        <w:tc>
          <w:tcPr>
            <w:tcW w:w="2689" w:type="dxa"/>
            <w:gridSpan w:val="5"/>
            <w:shd w:val="clear" w:color="auto" w:fill="auto"/>
          </w:tcPr>
          <w:p w:rsidR="00EA2552" w:rsidRDefault="00EA2552" w:rsidP="007C73D3"/>
        </w:tc>
        <w:tc>
          <w:tcPr>
            <w:tcW w:w="2419" w:type="dxa"/>
            <w:gridSpan w:val="3"/>
            <w:shd w:val="clear" w:color="auto" w:fill="auto"/>
          </w:tcPr>
          <w:p w:rsidR="00EA2552" w:rsidRDefault="00EA2552" w:rsidP="007C73D3"/>
        </w:tc>
        <w:tc>
          <w:tcPr>
            <w:tcW w:w="2411" w:type="dxa"/>
            <w:gridSpan w:val="2"/>
            <w:shd w:val="clear" w:color="auto" w:fill="auto"/>
          </w:tcPr>
          <w:p w:rsidR="00EA2552" w:rsidRDefault="00EA2552" w:rsidP="007C73D3"/>
        </w:tc>
      </w:tr>
      <w:tr w:rsidR="00D70A1F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D70A1F" w:rsidRPr="00D70A1F" w:rsidRDefault="00D70A1F" w:rsidP="00A33CB1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7"/>
            </w:r>
            <w:r w:rsidRPr="00D70A1F">
              <w:rPr>
                <w:b/>
              </w:rPr>
              <w:t>:</w:t>
            </w:r>
          </w:p>
        </w:tc>
      </w:tr>
      <w:tr w:rsidR="00FD028A" w:rsidTr="00A050D2">
        <w:trPr>
          <w:jc w:val="center"/>
        </w:trPr>
        <w:tc>
          <w:tcPr>
            <w:tcW w:w="10031" w:type="dxa"/>
            <w:gridSpan w:val="12"/>
          </w:tcPr>
          <w:p w:rsidR="00FD028A" w:rsidRDefault="00FD028A" w:rsidP="00F06A27"/>
        </w:tc>
      </w:tr>
      <w:tr w:rsidR="00BA0E31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BA0E31" w:rsidRPr="00517659" w:rsidRDefault="00BA0E31" w:rsidP="00BA0E31">
            <w:pPr>
              <w:jc w:val="center"/>
              <w:rPr>
                <w:b/>
              </w:rPr>
            </w:pPr>
            <w:r>
              <w:rPr>
                <w:b/>
              </w:rPr>
              <w:t>Súhrnné informácie z výberu o ŽoNFP</w:t>
            </w:r>
          </w:p>
        </w:tc>
      </w:tr>
      <w:tr w:rsidR="00BA0E31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BA0E31" w:rsidRDefault="00677282" w:rsidP="00A33CB1">
            <w:r>
              <w:t>Celkový počet schválených ŽoNFP</w:t>
            </w:r>
          </w:p>
        </w:tc>
        <w:tc>
          <w:tcPr>
            <w:tcW w:w="5936" w:type="dxa"/>
            <w:gridSpan w:val="7"/>
          </w:tcPr>
          <w:p w:rsidR="00BA0E31" w:rsidRPr="0024799D" w:rsidRDefault="00BA0E31" w:rsidP="00A33CB1">
            <w:pPr>
              <w:jc w:val="center"/>
              <w:rPr>
                <w:b/>
              </w:rPr>
            </w:pPr>
          </w:p>
        </w:tc>
      </w:tr>
      <w:tr w:rsidR="007C66C2" w:rsidTr="006674E5">
        <w:trPr>
          <w:trHeight w:val="623"/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7C66C2" w:rsidRDefault="007C66C2" w:rsidP="007C66C2">
            <w:r>
              <w:t>Celková výška NFP za schválené ŽoNFP</w:t>
            </w:r>
          </w:p>
        </w:tc>
        <w:tc>
          <w:tcPr>
            <w:tcW w:w="5936" w:type="dxa"/>
            <w:gridSpan w:val="7"/>
          </w:tcPr>
          <w:p w:rsidR="007C66C2" w:rsidRDefault="007C66C2" w:rsidP="00A33CB1"/>
        </w:tc>
      </w:tr>
      <w:tr w:rsidR="007C66C2" w:rsidTr="007C66C2">
        <w:trPr>
          <w:trHeight w:val="409"/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7C66C2" w:rsidRDefault="007C66C2" w:rsidP="007C66C2">
            <w:r>
              <w:t>Z toho zdroje EÚ</w:t>
            </w:r>
          </w:p>
        </w:tc>
        <w:tc>
          <w:tcPr>
            <w:tcW w:w="5936" w:type="dxa"/>
            <w:gridSpan w:val="7"/>
          </w:tcPr>
          <w:p w:rsidR="007C66C2" w:rsidRDefault="007C66C2" w:rsidP="00A33CB1"/>
        </w:tc>
      </w:tr>
      <w:tr w:rsidR="00534050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534050" w:rsidRDefault="00534050" w:rsidP="0094416F">
            <w:r>
              <w:t xml:space="preserve">Celkový počet ŽoNFP, pri ktorých došlo po </w:t>
            </w:r>
            <w:r w:rsidR="0094416F">
              <w:t>výbere ŽoNFP</w:t>
            </w:r>
            <w:r>
              <w:t xml:space="preserve"> k neschváleniu </w:t>
            </w:r>
          </w:p>
        </w:tc>
        <w:tc>
          <w:tcPr>
            <w:tcW w:w="5936" w:type="dxa"/>
            <w:gridSpan w:val="7"/>
          </w:tcPr>
          <w:p w:rsidR="00534050" w:rsidRDefault="00534050" w:rsidP="00A33CB1"/>
        </w:tc>
      </w:tr>
      <w:tr w:rsidR="00534050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534050" w:rsidRDefault="00534050" w:rsidP="0094416F">
            <w:r>
              <w:t xml:space="preserve">Celkový počet ŽoNFP, pri ktorých došlo po </w:t>
            </w:r>
            <w:r w:rsidR="0094416F">
              <w:t>výbere ŽoNFP</w:t>
            </w:r>
            <w:r>
              <w:t xml:space="preserve"> k zastaveniu konania</w:t>
            </w:r>
          </w:p>
        </w:tc>
        <w:tc>
          <w:tcPr>
            <w:tcW w:w="5936" w:type="dxa"/>
            <w:gridSpan w:val="7"/>
          </w:tcPr>
          <w:p w:rsidR="00534050" w:rsidRDefault="00534050" w:rsidP="00A33CB1"/>
        </w:tc>
      </w:tr>
      <w:tr w:rsidR="00B5358A" w:rsidTr="00A050D2">
        <w:trPr>
          <w:jc w:val="center"/>
        </w:trPr>
        <w:tc>
          <w:tcPr>
            <w:tcW w:w="4095" w:type="dxa"/>
            <w:gridSpan w:val="5"/>
            <w:shd w:val="clear" w:color="auto" w:fill="E5DFEC" w:themeFill="accent4" w:themeFillTint="33"/>
          </w:tcPr>
          <w:p w:rsidR="00B5358A" w:rsidRDefault="00B5358A" w:rsidP="0094416F">
            <w:r w:rsidRPr="00B5358A">
              <w:t>Celkový počet ŽoNFP, ktoré nesplnili výberové kritériá</w:t>
            </w:r>
            <w:r>
              <w:rPr>
                <w:rStyle w:val="Odkaznapoznmkupodiarou"/>
              </w:rPr>
              <w:footnoteReference w:id="8"/>
            </w:r>
          </w:p>
        </w:tc>
        <w:tc>
          <w:tcPr>
            <w:tcW w:w="5936" w:type="dxa"/>
            <w:gridSpan w:val="7"/>
          </w:tcPr>
          <w:p w:rsidR="00B5358A" w:rsidRDefault="00B5358A" w:rsidP="00A33CB1"/>
        </w:tc>
      </w:tr>
      <w:tr w:rsidR="00BA0E31" w:rsidTr="00A050D2">
        <w:trPr>
          <w:jc w:val="center"/>
        </w:trPr>
        <w:tc>
          <w:tcPr>
            <w:tcW w:w="10031" w:type="dxa"/>
            <w:gridSpan w:val="12"/>
            <w:shd w:val="clear" w:color="auto" w:fill="FFFFFF" w:themeFill="background1"/>
          </w:tcPr>
          <w:p w:rsidR="00BA0E31" w:rsidRDefault="00BA0E31" w:rsidP="00A33CB1"/>
        </w:tc>
      </w:tr>
      <w:tr w:rsidR="00BA0E31" w:rsidTr="00A050D2">
        <w:trPr>
          <w:jc w:val="center"/>
        </w:trPr>
        <w:tc>
          <w:tcPr>
            <w:tcW w:w="10031" w:type="dxa"/>
            <w:gridSpan w:val="12"/>
            <w:shd w:val="clear" w:color="auto" w:fill="B2A1C7" w:themeFill="accent4" w:themeFillTint="99"/>
          </w:tcPr>
          <w:p w:rsidR="00BA0E31" w:rsidRPr="00D70A1F" w:rsidRDefault="00BA0E31" w:rsidP="00A33CB1">
            <w:pPr>
              <w:rPr>
                <w:b/>
              </w:rPr>
            </w:pPr>
            <w:r w:rsidRPr="00D70A1F">
              <w:rPr>
                <w:b/>
              </w:rPr>
              <w:t>Komentár</w:t>
            </w:r>
            <w:r>
              <w:rPr>
                <w:rStyle w:val="Odkaznapoznmkupodiarou"/>
                <w:b/>
              </w:rPr>
              <w:footnoteReference w:id="9"/>
            </w:r>
            <w:r w:rsidRPr="00D70A1F">
              <w:rPr>
                <w:b/>
              </w:rPr>
              <w:t>:</w:t>
            </w:r>
          </w:p>
        </w:tc>
      </w:tr>
      <w:tr w:rsidR="00BA0E31" w:rsidTr="00A050D2">
        <w:trPr>
          <w:jc w:val="center"/>
        </w:trPr>
        <w:tc>
          <w:tcPr>
            <w:tcW w:w="10031" w:type="dxa"/>
            <w:gridSpan w:val="12"/>
          </w:tcPr>
          <w:p w:rsidR="00BA0E31" w:rsidRDefault="00BA0E31" w:rsidP="00A33CB1"/>
        </w:tc>
      </w:tr>
      <w:tr w:rsidR="00FD028A" w:rsidTr="00A050D2">
        <w:trPr>
          <w:jc w:val="cente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Vypracoval:</w:t>
            </w:r>
          </w:p>
        </w:tc>
        <w:tc>
          <w:tcPr>
            <w:tcW w:w="6136" w:type="dxa"/>
            <w:gridSpan w:val="9"/>
          </w:tcPr>
          <w:p w:rsidR="00FD028A" w:rsidRDefault="00FD028A" w:rsidP="00F06A27"/>
        </w:tc>
      </w:tr>
      <w:tr w:rsidR="00FD028A" w:rsidTr="00A050D2">
        <w:trPr>
          <w:jc w:val="cente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6136" w:type="dxa"/>
            <w:gridSpan w:val="9"/>
          </w:tcPr>
          <w:p w:rsidR="00FD028A" w:rsidRDefault="00FD028A" w:rsidP="00F06A27"/>
        </w:tc>
      </w:tr>
      <w:tr w:rsidR="00FD028A" w:rsidTr="00A050D2">
        <w:trPr>
          <w:jc w:val="center"/>
        </w:trPr>
        <w:tc>
          <w:tcPr>
            <w:tcW w:w="3895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6136" w:type="dxa"/>
            <w:gridSpan w:val="9"/>
          </w:tcPr>
          <w:p w:rsidR="00FD028A" w:rsidRDefault="00FD028A" w:rsidP="00F06A27"/>
        </w:tc>
      </w:tr>
      <w:tr w:rsidR="00FD028A" w:rsidTr="00A050D2">
        <w:trPr>
          <w:jc w:val="center"/>
        </w:trPr>
        <w:tc>
          <w:tcPr>
            <w:tcW w:w="10031" w:type="dxa"/>
            <w:gridSpan w:val="12"/>
          </w:tcPr>
          <w:p w:rsidR="00FD028A" w:rsidRDefault="00FD028A" w:rsidP="00F06A27"/>
        </w:tc>
      </w:tr>
      <w:tr w:rsidR="00FD028A" w:rsidTr="00A050D2">
        <w:trPr>
          <w:jc w:val="cente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Schválil:</w:t>
            </w:r>
          </w:p>
        </w:tc>
        <w:tc>
          <w:tcPr>
            <w:tcW w:w="6136" w:type="dxa"/>
            <w:gridSpan w:val="9"/>
          </w:tcPr>
          <w:p w:rsidR="00FD028A" w:rsidRDefault="00FD028A" w:rsidP="00F06A27"/>
        </w:tc>
      </w:tr>
      <w:tr w:rsidR="00FD028A" w:rsidTr="00A050D2">
        <w:trPr>
          <w:jc w:val="cente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Dátum:</w:t>
            </w:r>
          </w:p>
        </w:tc>
        <w:tc>
          <w:tcPr>
            <w:tcW w:w="6136" w:type="dxa"/>
            <w:gridSpan w:val="9"/>
          </w:tcPr>
          <w:p w:rsidR="00FD028A" w:rsidRDefault="00FD028A" w:rsidP="00F06A27"/>
        </w:tc>
      </w:tr>
      <w:tr w:rsidR="00FD028A" w:rsidTr="00A050D2">
        <w:trPr>
          <w:trHeight w:val="256"/>
          <w:jc w:val="center"/>
        </w:trPr>
        <w:tc>
          <w:tcPr>
            <w:tcW w:w="3895" w:type="dxa"/>
            <w:gridSpan w:val="3"/>
            <w:shd w:val="clear" w:color="auto" w:fill="B2A1C7" w:themeFill="accent4" w:themeFillTint="99"/>
          </w:tcPr>
          <w:p w:rsidR="00FD028A" w:rsidRDefault="00FD028A" w:rsidP="00F06A27">
            <w:r>
              <w:t>Podpis:</w:t>
            </w:r>
          </w:p>
        </w:tc>
        <w:tc>
          <w:tcPr>
            <w:tcW w:w="6136" w:type="dxa"/>
            <w:gridSpan w:val="9"/>
          </w:tcPr>
          <w:p w:rsidR="00FD028A" w:rsidRDefault="00FD028A" w:rsidP="00F06A27"/>
        </w:tc>
      </w:tr>
    </w:tbl>
    <w:p w:rsidR="00FD028A" w:rsidRPr="00BA0E31" w:rsidRDefault="001E0991" w:rsidP="00FD028A">
      <w:pPr>
        <w:rPr>
          <w:b/>
        </w:rPr>
      </w:pPr>
      <w:r w:rsidRPr="00BA0E31">
        <w:rPr>
          <w:b/>
        </w:rPr>
        <w:lastRenderedPageBreak/>
        <w:t>Prílohy:</w:t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ktoré nesplnili podmienky administratívneho overenia</w:t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ktoré splnili podmienky administratívneho overenia</w:t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ktoré nesplnili podmienky odborného hodnotenia</w:t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ktoré splnili podmienky odborného hodnotenia</w:t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pri ktorých bolo vydané rozhodnutie o zastavení konania</w:t>
      </w:r>
    </w:p>
    <w:p w:rsidR="00B5358A" w:rsidRDefault="001E0991" w:rsidP="00253217">
      <w:pPr>
        <w:pStyle w:val="Odsekzoznamu"/>
        <w:numPr>
          <w:ilvl w:val="0"/>
          <w:numId w:val="2"/>
        </w:numPr>
        <w:jc w:val="both"/>
      </w:pPr>
      <w:r>
        <w:t>Záznam z aplikácie výberových kritérií (ak pre danú výzvu boli aplikované)</w:t>
      </w:r>
      <w:r w:rsidR="00B5358A">
        <w:t>, vrátane zoznamu ŽoNFP, ktoré nesplnili výberové kritériá</w:t>
      </w:r>
    </w:p>
    <w:p w:rsidR="001E0991" w:rsidRDefault="00B5358A" w:rsidP="00253217">
      <w:pPr>
        <w:pStyle w:val="Odsekzoznamu"/>
        <w:numPr>
          <w:ilvl w:val="0"/>
          <w:numId w:val="2"/>
        </w:numPr>
        <w:jc w:val="both"/>
      </w:pPr>
      <w:r>
        <w:t>Z</w:t>
      </w:r>
      <w:r w:rsidR="0094416F" w:rsidRPr="0094416F">
        <w:t xml:space="preserve">áznam z aplikácie z rozlišovacích kritérií, ktorý </w:t>
      </w:r>
      <w:r w:rsidR="0094416F">
        <w:t xml:space="preserve">dokumentuje </w:t>
      </w:r>
      <w:r w:rsidR="0094416F" w:rsidRPr="0094416F">
        <w:t xml:space="preserve"> spôsob výberu ŽoNFP, ktoré dosiahli rovnaký počet bodov</w:t>
      </w:r>
      <w:r>
        <w:t>,</w:t>
      </w:r>
      <w:r w:rsidRPr="00B5358A">
        <w:t xml:space="preserve"> </w:t>
      </w:r>
      <w:r>
        <w:t xml:space="preserve">v prípade využitia rozlišovacích kritérií </w:t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ktoré boli neschválené z dôvodu nedostatku alokácie</w:t>
      </w:r>
      <w:r w:rsidR="00BA0E31">
        <w:t xml:space="preserve"> v poradí, v akom boli neschválené</w:t>
      </w:r>
      <w:r w:rsidR="00BA0E31">
        <w:rPr>
          <w:rStyle w:val="Odkaznapoznmkupodiarou"/>
        </w:rPr>
        <w:footnoteReference w:id="10"/>
      </w:r>
    </w:p>
    <w:p w:rsidR="001E0991" w:rsidRDefault="001E0991" w:rsidP="00253217">
      <w:pPr>
        <w:pStyle w:val="Odsekzoznamu"/>
        <w:numPr>
          <w:ilvl w:val="0"/>
          <w:numId w:val="2"/>
        </w:numPr>
        <w:jc w:val="both"/>
      </w:pPr>
      <w:r>
        <w:t>Zoznam ŽoNFP, ktoré boli schválené</w:t>
      </w:r>
      <w:r w:rsidR="00BA0E31">
        <w:t>, vrátane výšky schváleného NFP</w:t>
      </w:r>
    </w:p>
    <w:p w:rsidR="001E0991" w:rsidRDefault="00534050" w:rsidP="00253217">
      <w:pPr>
        <w:pStyle w:val="Odsekzoznamu"/>
        <w:numPr>
          <w:ilvl w:val="0"/>
          <w:numId w:val="2"/>
        </w:numPr>
        <w:jc w:val="both"/>
      </w:pPr>
      <w:r>
        <w:t>Iné</w:t>
      </w:r>
      <w:r>
        <w:rPr>
          <w:rStyle w:val="Odkaznapoznmkupodiarou"/>
        </w:rPr>
        <w:footnoteReference w:id="11"/>
      </w:r>
      <w:r>
        <w:t xml:space="preserve"> </w:t>
      </w:r>
    </w:p>
    <w:p w:rsidR="00534050" w:rsidRDefault="00534050" w:rsidP="00253217">
      <w:pPr>
        <w:pStyle w:val="Odsekzoznamu"/>
        <w:jc w:val="both"/>
      </w:pPr>
    </w:p>
    <w:p w:rsidR="001E0991" w:rsidRDefault="001E0991" w:rsidP="00FD028A"/>
    <w:p w:rsidR="00FD028A" w:rsidRDefault="00FD028A" w:rsidP="00FD028A"/>
    <w:p w:rsidR="00FD028A" w:rsidRPr="00FD028A" w:rsidRDefault="00FD028A" w:rsidP="00FD028A"/>
    <w:sectPr w:rsidR="00FD028A" w:rsidRPr="00FD028A" w:rsidSect="001370D6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2A2" w:rsidRDefault="007A62A2" w:rsidP="009B44B8">
      <w:pPr>
        <w:spacing w:after="0" w:line="240" w:lineRule="auto"/>
      </w:pPr>
      <w:r>
        <w:separator/>
      </w:r>
    </w:p>
  </w:endnote>
  <w:endnote w:type="continuationSeparator" w:id="0">
    <w:p w:rsidR="007A62A2" w:rsidRDefault="007A62A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D6" w:rsidRDefault="001370D6" w:rsidP="001370D6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EFCF7C" wp14:editId="4FF7909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1370D6" w:rsidRDefault="001370D6" w:rsidP="001370D6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065F77CA" wp14:editId="178328C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26D89">
          <w:rPr>
            <w:noProof/>
          </w:rPr>
          <w:t>4</w:t>
        </w:r>
        <w:r>
          <w:fldChar w:fldCharType="end"/>
        </w:r>
      </w:sdtContent>
    </w:sdt>
  </w:p>
  <w:p w:rsidR="001370D6" w:rsidRPr="00627EA3" w:rsidRDefault="001370D6" w:rsidP="001370D6">
    <w:pPr>
      <w:pStyle w:val="Pta"/>
    </w:pPr>
  </w:p>
  <w:p w:rsidR="001370D6" w:rsidRDefault="001370D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2A2" w:rsidRDefault="007A62A2" w:rsidP="009B44B8">
      <w:pPr>
        <w:spacing w:after="0" w:line="240" w:lineRule="auto"/>
      </w:pPr>
      <w:r>
        <w:separator/>
      </w:r>
    </w:p>
  </w:footnote>
  <w:footnote w:type="continuationSeparator" w:id="0">
    <w:p w:rsidR="007A62A2" w:rsidRDefault="007A62A2" w:rsidP="009B44B8">
      <w:pPr>
        <w:spacing w:after="0" w:line="240" w:lineRule="auto"/>
      </w:pPr>
      <w:r>
        <w:continuationSeparator/>
      </w:r>
    </w:p>
  </w:footnote>
  <w:footnote w:id="1">
    <w:p w:rsidR="00534050" w:rsidRDefault="00534050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súlade s kapitolou 3.2.1.4 </w:t>
      </w:r>
      <w:r w:rsidR="00D619C3">
        <w:t xml:space="preserve">ods. </w:t>
      </w:r>
      <w:r>
        <w:t>4 Systému riadenia EŠIF RO zasiela záverečnú správu z výzvy najneskôr do 5 pracov</w:t>
      </w:r>
      <w:r w:rsidR="002664F2">
        <w:t>ných dní od jej schválenia na C</w:t>
      </w:r>
      <w:r>
        <w:t>O</w:t>
      </w:r>
      <w:r w:rsidR="005C504D">
        <w:t>.  Záverečná správa sa nevypracúva v prípade písomných vyzvaní.</w:t>
      </w:r>
      <w:r w:rsidR="00B827CB">
        <w:t xml:space="preserve"> </w:t>
      </w:r>
      <w:r w:rsidR="00B827CB" w:rsidRPr="00253217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 ktoré sa príloha vzťahuje.</w:t>
      </w:r>
    </w:p>
  </w:footnote>
  <w:footnote w:id="2">
    <w:p w:rsidR="00A050D2" w:rsidRDefault="00A050D2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otvorenej výzvy sa uvádza príslušné posudzované časové obdobie výzvy, t.j. obdobie, počas ktorého boli zaregistrované žiadosti o NFP, ktoré sú predmetom schvaľovacieho procesu. V prípade uzavretej výzvy(časovo ohraničenej) sa uvádza dátum vyhlásenia a dátum ukončenia výzvy</w:t>
      </w:r>
    </w:p>
  </w:footnote>
  <w:footnote w:id="3">
    <w:p w:rsidR="00A050D2" w:rsidRDefault="00A050D2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Relevantné v prípade, ak výzva bola vyhlásená v nadväznosti na výzvu na predkladanie projektových zámerov</w:t>
      </w:r>
    </w:p>
  </w:footnote>
  <w:footnote w:id="4">
    <w:p w:rsidR="00A92659" w:rsidRDefault="00A92659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ŽoNFP, pri ktorých bolo vo fáze administratívneho overenia vydané rozhodnutie o neschválení alebo rozhodnutie o zastavení konania o ŽoNFP</w:t>
      </w:r>
    </w:p>
  </w:footnote>
  <w:footnote w:id="5">
    <w:p w:rsidR="00D70A1F" w:rsidRDefault="00D70A1F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Nepovinné pole</w:t>
      </w:r>
    </w:p>
  </w:footnote>
  <w:footnote w:id="6">
    <w:p w:rsidR="00D70A1F" w:rsidRDefault="00D70A1F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ŽoNFP, pri ktorých bolo vo fáze odborného hodnotenia vydané rozhodnutie o neschválení alebo rozhodnutie o zastavení konania</w:t>
      </w:r>
      <w:r w:rsidR="007C66C2">
        <w:t>.</w:t>
      </w:r>
    </w:p>
  </w:footnote>
  <w:footnote w:id="7">
    <w:p w:rsidR="00D70A1F" w:rsidRDefault="00D70A1F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Nepovinné pole</w:t>
      </w:r>
      <w:r w:rsidR="007C66C2">
        <w:t>.</w:t>
      </w:r>
    </w:p>
  </w:footnote>
  <w:footnote w:id="8">
    <w:p w:rsidR="00B5358A" w:rsidRDefault="00B535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5358A">
        <w:t>Relevantné v prípade, ak boli aplikované výberové kritériá. V opačnom prípade uviesť "nerelevantné"</w:t>
      </w:r>
      <w:r w:rsidR="007C66C2">
        <w:t>.</w:t>
      </w:r>
    </w:p>
  </w:footnote>
  <w:footnote w:id="9">
    <w:p w:rsidR="00BA0E31" w:rsidRDefault="00BA0E31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Nepovinné pole</w:t>
      </w:r>
      <w:r w:rsidR="007C66C2">
        <w:t>.</w:t>
      </w:r>
    </w:p>
  </w:footnote>
  <w:footnote w:id="10">
    <w:p w:rsidR="00BA0E31" w:rsidRDefault="00BA0E31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výziev, kde bola zadefinovaná možnosť využitia zásobníka projektov ide o prílohu podľa kapitoly 3.2.1.4 </w:t>
      </w:r>
      <w:r w:rsidR="00D619C3">
        <w:t xml:space="preserve">ods. </w:t>
      </w:r>
      <w:r>
        <w:t>3 Systému riadenia EŠIF – zásobník projektov</w:t>
      </w:r>
      <w:r w:rsidR="007C66C2">
        <w:t>.</w:t>
      </w:r>
    </w:p>
  </w:footnote>
  <w:footnote w:id="11">
    <w:p w:rsidR="00534050" w:rsidRDefault="00534050" w:rsidP="00F90D3F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Na základe rozhodnutia RO môžu byť prílohou záverečnej správy výzvy dokumenty, ktoré sú súčasťou a dokumentujú schvaľovací proces ŽoNFP v súlade s kapitolou 3.2.1.4</w:t>
      </w:r>
      <w:r w:rsidR="0073745F">
        <w:t>; prílohy v bode 1 – 8 RO zaradí do záverečnej správy výzvy v závislosti na ich relevantnosti</w:t>
      </w:r>
      <w:r w:rsidR="007C66C2">
        <w:t>.</w:t>
      </w:r>
      <w:r w:rsidR="0073745F"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D6" w:rsidRDefault="001370D6" w:rsidP="001370D6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1CB93F2" wp14:editId="29F7AF1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Rovná spojnica 1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p w:rsidR="001370D6" w:rsidRDefault="007A62A2" w:rsidP="001370D6">
    <w:pPr>
      <w:pStyle w:val="Hlavika"/>
      <w:jc w:val="right"/>
    </w:pPr>
    <w:sdt>
      <w:sdtPr>
        <w:rPr>
          <w:szCs w:val="20"/>
        </w:rPr>
        <w:id w:val="2070840989"/>
        <w:placeholder>
          <w:docPart w:val="3AFBC505152B4C718D88F222257FEABB"/>
        </w:placeholder>
        <w:date w:fullDate="2015-02-05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D26D89">
          <w:rPr>
            <w:szCs w:val="20"/>
          </w:rPr>
          <w:t>05.02.2015</w:t>
        </w:r>
      </w:sdtContent>
    </w:sdt>
  </w:p>
  <w:p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AB8" w:rsidRDefault="00686AB8">
    <w:pPr>
      <w:pStyle w:val="Hlavika"/>
    </w:pPr>
  </w:p>
  <w:p w:rsidR="00686AB8" w:rsidRDefault="00686AB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C5A2C"/>
    <w:multiLevelType w:val="hybridMultilevel"/>
    <w:tmpl w:val="25F242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97E7E"/>
    <w:multiLevelType w:val="hybridMultilevel"/>
    <w:tmpl w:val="8E1A09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36B26"/>
    <w:rsid w:val="00055EFA"/>
    <w:rsid w:val="000614E5"/>
    <w:rsid w:val="00062525"/>
    <w:rsid w:val="00071B7E"/>
    <w:rsid w:val="000B5E97"/>
    <w:rsid w:val="00105536"/>
    <w:rsid w:val="001126D3"/>
    <w:rsid w:val="00114FE1"/>
    <w:rsid w:val="001370D6"/>
    <w:rsid w:val="00143339"/>
    <w:rsid w:val="00154F86"/>
    <w:rsid w:val="00183B44"/>
    <w:rsid w:val="001E0991"/>
    <w:rsid w:val="0024799D"/>
    <w:rsid w:val="00253217"/>
    <w:rsid w:val="002664F2"/>
    <w:rsid w:val="002B60FE"/>
    <w:rsid w:val="00303AB8"/>
    <w:rsid w:val="003377A7"/>
    <w:rsid w:val="00361E2F"/>
    <w:rsid w:val="003B651B"/>
    <w:rsid w:val="00417E23"/>
    <w:rsid w:val="00435127"/>
    <w:rsid w:val="004A3F63"/>
    <w:rsid w:val="00517659"/>
    <w:rsid w:val="00527E8D"/>
    <w:rsid w:val="00534050"/>
    <w:rsid w:val="0058054B"/>
    <w:rsid w:val="005C504D"/>
    <w:rsid w:val="005C62E4"/>
    <w:rsid w:val="00620626"/>
    <w:rsid w:val="006267ED"/>
    <w:rsid w:val="006300A5"/>
    <w:rsid w:val="00663AAC"/>
    <w:rsid w:val="00677282"/>
    <w:rsid w:val="00686AB8"/>
    <w:rsid w:val="006E28C2"/>
    <w:rsid w:val="00700482"/>
    <w:rsid w:val="0073745F"/>
    <w:rsid w:val="007469CC"/>
    <w:rsid w:val="007A62A2"/>
    <w:rsid w:val="007C66C2"/>
    <w:rsid w:val="007E3D4D"/>
    <w:rsid w:val="008A7DBF"/>
    <w:rsid w:val="0090377E"/>
    <w:rsid w:val="0094416F"/>
    <w:rsid w:val="00944BAA"/>
    <w:rsid w:val="00947535"/>
    <w:rsid w:val="00977107"/>
    <w:rsid w:val="009A73BC"/>
    <w:rsid w:val="009A7F14"/>
    <w:rsid w:val="009B44B8"/>
    <w:rsid w:val="009C2A72"/>
    <w:rsid w:val="00A050D2"/>
    <w:rsid w:val="00A21C64"/>
    <w:rsid w:val="00A60B7A"/>
    <w:rsid w:val="00A72107"/>
    <w:rsid w:val="00A9035D"/>
    <w:rsid w:val="00A92659"/>
    <w:rsid w:val="00AE73F7"/>
    <w:rsid w:val="00AF0B3C"/>
    <w:rsid w:val="00B0598E"/>
    <w:rsid w:val="00B13F1C"/>
    <w:rsid w:val="00B4501F"/>
    <w:rsid w:val="00B5358A"/>
    <w:rsid w:val="00B60198"/>
    <w:rsid w:val="00B66F4A"/>
    <w:rsid w:val="00B75C6B"/>
    <w:rsid w:val="00B827CB"/>
    <w:rsid w:val="00BA0E31"/>
    <w:rsid w:val="00BC2751"/>
    <w:rsid w:val="00BC3621"/>
    <w:rsid w:val="00C571C4"/>
    <w:rsid w:val="00C813BF"/>
    <w:rsid w:val="00CA25A8"/>
    <w:rsid w:val="00CE4D77"/>
    <w:rsid w:val="00CF5C67"/>
    <w:rsid w:val="00D15A06"/>
    <w:rsid w:val="00D26D89"/>
    <w:rsid w:val="00D619C3"/>
    <w:rsid w:val="00D70A1F"/>
    <w:rsid w:val="00DB3D85"/>
    <w:rsid w:val="00DF7102"/>
    <w:rsid w:val="00E01516"/>
    <w:rsid w:val="00E14F42"/>
    <w:rsid w:val="00EA2552"/>
    <w:rsid w:val="00ED3C54"/>
    <w:rsid w:val="00F04A64"/>
    <w:rsid w:val="00F147E9"/>
    <w:rsid w:val="00F84B30"/>
    <w:rsid w:val="00F90D3F"/>
    <w:rsid w:val="00F943EC"/>
    <w:rsid w:val="00FD028A"/>
    <w:rsid w:val="00FF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2A7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2A7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2A72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60B7A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60B7A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C61CD3" w:rsidRDefault="00CD05DF" w:rsidP="00CD05DF">
          <w:pPr>
            <w:pStyle w:val="B735ECECB15E4057BAB7D57B6634A51F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C61CD3" w:rsidRDefault="00CD05DF" w:rsidP="00CD05DF">
          <w:pPr>
            <w:pStyle w:val="103F38E32C084A3FB53A30712D73212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C61CD3" w:rsidRDefault="00CD05DF" w:rsidP="00CD05DF">
          <w:pPr>
            <w:pStyle w:val="DB38C9FFAA374AE4A482C60FCAA6520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17BA6A5741434F2D811F9E65707C12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FAD679-6779-406A-AD35-7C41D0002490}"/>
      </w:docPartPr>
      <w:docPartBody>
        <w:p w:rsidR="00C61CD3" w:rsidRDefault="00CD05DF" w:rsidP="00CD05DF">
          <w:pPr>
            <w:pStyle w:val="17BA6A5741434F2D811F9E65707C120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B6113643A03F47FD9AA1C6D0119BDC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9E5ECCE-5DC8-4CC7-8BC5-B612081E8264}"/>
      </w:docPartPr>
      <w:docPartBody>
        <w:p w:rsidR="00C61CD3" w:rsidRDefault="00CD05DF" w:rsidP="00CD05DF">
          <w:pPr>
            <w:pStyle w:val="B6113643A03F47FD9AA1C6D0119BDC39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3AFBC505152B4C718D88F222257FEA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D8451C5-DE41-46AC-88EC-5D851A98D1BB}"/>
      </w:docPartPr>
      <w:docPartBody>
        <w:p w:rsidR="00F5201F" w:rsidRDefault="009A52CB" w:rsidP="009A52CB">
          <w:pPr>
            <w:pStyle w:val="3AFBC505152B4C718D88F222257FEAB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016E8"/>
    <w:rsid w:val="0003721B"/>
    <w:rsid w:val="00102056"/>
    <w:rsid w:val="00213F70"/>
    <w:rsid w:val="00220B87"/>
    <w:rsid w:val="00227B4B"/>
    <w:rsid w:val="00282CC9"/>
    <w:rsid w:val="003111FC"/>
    <w:rsid w:val="00353C52"/>
    <w:rsid w:val="00426596"/>
    <w:rsid w:val="004348B8"/>
    <w:rsid w:val="004D74F0"/>
    <w:rsid w:val="0056666C"/>
    <w:rsid w:val="006353D9"/>
    <w:rsid w:val="00674C8A"/>
    <w:rsid w:val="006C20D2"/>
    <w:rsid w:val="00743BBC"/>
    <w:rsid w:val="007D4122"/>
    <w:rsid w:val="00844D9A"/>
    <w:rsid w:val="00882C39"/>
    <w:rsid w:val="00927368"/>
    <w:rsid w:val="00937392"/>
    <w:rsid w:val="00940587"/>
    <w:rsid w:val="009626DA"/>
    <w:rsid w:val="009A52CB"/>
    <w:rsid w:val="00B7048E"/>
    <w:rsid w:val="00BB264F"/>
    <w:rsid w:val="00C61CD3"/>
    <w:rsid w:val="00C97986"/>
    <w:rsid w:val="00CD05DF"/>
    <w:rsid w:val="00D00D27"/>
    <w:rsid w:val="00D36303"/>
    <w:rsid w:val="00D77C82"/>
    <w:rsid w:val="00DA02F4"/>
    <w:rsid w:val="00E72904"/>
    <w:rsid w:val="00F5201F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A52CB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A96F6B8EF08A48379564F2C6150FB375">
    <w:name w:val="A96F6B8EF08A48379564F2C6150FB375"/>
    <w:rsid w:val="00937392"/>
  </w:style>
  <w:style w:type="paragraph" w:customStyle="1" w:styleId="A63BF35B493141D7B582F0451B45361B">
    <w:name w:val="A63BF35B493141D7B582F0451B45361B"/>
    <w:rsid w:val="009A52CB"/>
  </w:style>
  <w:style w:type="paragraph" w:customStyle="1" w:styleId="3AFBC505152B4C718D88F222257FEABB">
    <w:name w:val="3AFBC505152B4C718D88F222257FEABB"/>
    <w:rsid w:val="009A52C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9A52CB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CB38A7C520444D549049695565254632">
    <w:name w:val="CB38A7C520444D549049695565254632"/>
    <w:rsid w:val="00C61CD3"/>
  </w:style>
  <w:style w:type="paragraph" w:customStyle="1" w:styleId="464826E0F6784C04876630B472A03407">
    <w:name w:val="464826E0F6784C04876630B472A03407"/>
    <w:rsid w:val="00C61CD3"/>
  </w:style>
  <w:style w:type="paragraph" w:customStyle="1" w:styleId="946C376AD29347DB971AEF380AA1E3CD">
    <w:name w:val="946C376AD29347DB971AEF380AA1E3CD"/>
    <w:rsid w:val="00C61CD3"/>
  </w:style>
  <w:style w:type="paragraph" w:customStyle="1" w:styleId="513D4E78452C46DE99E061C81A98CB2F">
    <w:name w:val="513D4E78452C46DE99E061C81A98CB2F"/>
    <w:rsid w:val="00C61CD3"/>
  </w:style>
  <w:style w:type="paragraph" w:customStyle="1" w:styleId="5DB428CEAD0B47C6A307BF3F39C9901C">
    <w:name w:val="5DB428CEAD0B47C6A307BF3F39C9901C"/>
    <w:rsid w:val="00C61CD3"/>
  </w:style>
  <w:style w:type="paragraph" w:customStyle="1" w:styleId="E33BA7A4670E40A29EEF8EFFEB94DE7E">
    <w:name w:val="E33BA7A4670E40A29EEF8EFFEB94DE7E"/>
    <w:rsid w:val="00C61CD3"/>
  </w:style>
  <w:style w:type="paragraph" w:customStyle="1" w:styleId="21B90952698C4F8983062E12B7F0B45F">
    <w:name w:val="21B90952698C4F8983062E12B7F0B45F"/>
    <w:rsid w:val="00C61CD3"/>
  </w:style>
  <w:style w:type="paragraph" w:customStyle="1" w:styleId="A0D3C50B3AAD4D0F9FA354304CF3677F">
    <w:name w:val="A0D3C50B3AAD4D0F9FA354304CF3677F"/>
    <w:rsid w:val="00C61CD3"/>
  </w:style>
  <w:style w:type="paragraph" w:customStyle="1" w:styleId="940F0D26E76E46E1843BAACBE5CCBE0C">
    <w:name w:val="940F0D26E76E46E1843BAACBE5CCBE0C"/>
    <w:rsid w:val="00C61CD3"/>
  </w:style>
  <w:style w:type="paragraph" w:customStyle="1" w:styleId="C540A15875A64297B3A6135B79B804C5">
    <w:name w:val="C540A15875A64297B3A6135B79B804C5"/>
    <w:rsid w:val="00C61CD3"/>
  </w:style>
  <w:style w:type="paragraph" w:customStyle="1" w:styleId="3EE008CE3B9C41C6A36280D32ED7409E">
    <w:name w:val="3EE008CE3B9C41C6A36280D32ED7409E"/>
    <w:rsid w:val="00C61CD3"/>
  </w:style>
  <w:style w:type="paragraph" w:customStyle="1" w:styleId="333499F985CE45B995729E1D3FC86C20">
    <w:name w:val="333499F985CE45B995729E1D3FC86C20"/>
    <w:rsid w:val="00C61CD3"/>
  </w:style>
  <w:style w:type="paragraph" w:customStyle="1" w:styleId="358BD70E039A4C3C88DC0C31365344FA">
    <w:name w:val="358BD70E039A4C3C88DC0C31365344FA"/>
    <w:rsid w:val="00C61CD3"/>
  </w:style>
  <w:style w:type="paragraph" w:customStyle="1" w:styleId="715AF65E4784466F9B8C44DCA081D1B8">
    <w:name w:val="715AF65E4784466F9B8C44DCA081D1B8"/>
    <w:rsid w:val="00C61CD3"/>
  </w:style>
  <w:style w:type="paragraph" w:customStyle="1" w:styleId="93D89AAD590F491BBC85BE4AAAEB2D77">
    <w:name w:val="93D89AAD590F491BBC85BE4AAAEB2D77"/>
    <w:rsid w:val="00C61CD3"/>
  </w:style>
  <w:style w:type="paragraph" w:customStyle="1" w:styleId="B6E39C37A1614325B2E673F70D5AD971">
    <w:name w:val="B6E39C37A1614325B2E673F70D5AD971"/>
    <w:rsid w:val="00C61CD3"/>
  </w:style>
  <w:style w:type="paragraph" w:customStyle="1" w:styleId="14B5B2EAE77C4B98BB50305FE4B15736">
    <w:name w:val="14B5B2EAE77C4B98BB50305FE4B15736"/>
    <w:rsid w:val="00C61CD3"/>
  </w:style>
  <w:style w:type="paragraph" w:customStyle="1" w:styleId="A68F6511CA0D478595CC7149C5D25C92">
    <w:name w:val="A68F6511CA0D478595CC7149C5D25C92"/>
    <w:rsid w:val="00C61CD3"/>
  </w:style>
  <w:style w:type="paragraph" w:customStyle="1" w:styleId="DDDFFDEEB50C4D98B38E8D463DACE120">
    <w:name w:val="DDDFFDEEB50C4D98B38E8D463DACE120"/>
    <w:rsid w:val="00C61CD3"/>
  </w:style>
  <w:style w:type="paragraph" w:customStyle="1" w:styleId="A42EE005D49343C3824FBC88A1E89C7E">
    <w:name w:val="A42EE005D49343C3824FBC88A1E89C7E"/>
    <w:rsid w:val="00C61CD3"/>
  </w:style>
  <w:style w:type="paragraph" w:customStyle="1" w:styleId="89CB2C7E5833440B9DE20BB692290077">
    <w:name w:val="89CB2C7E5833440B9DE20BB692290077"/>
    <w:rsid w:val="00C61CD3"/>
  </w:style>
  <w:style w:type="paragraph" w:customStyle="1" w:styleId="8B365D7F1D1D410EAD2E18382E3B68EB">
    <w:name w:val="8B365D7F1D1D410EAD2E18382E3B68EB"/>
    <w:rsid w:val="00C61CD3"/>
  </w:style>
  <w:style w:type="paragraph" w:customStyle="1" w:styleId="A96F6B8EF08A48379564F2C6150FB375">
    <w:name w:val="A96F6B8EF08A48379564F2C6150FB375"/>
    <w:rsid w:val="00937392"/>
  </w:style>
  <w:style w:type="paragraph" w:customStyle="1" w:styleId="A63BF35B493141D7B582F0451B45361B">
    <w:name w:val="A63BF35B493141D7B582F0451B45361B"/>
    <w:rsid w:val="009A52CB"/>
  </w:style>
  <w:style w:type="paragraph" w:customStyle="1" w:styleId="3AFBC505152B4C718D88F222257FEABB">
    <w:name w:val="3AFBC505152B4C718D88F222257FEABB"/>
    <w:rsid w:val="009A52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EA278-1168-4B8E-AFB8-E3A93DCB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Tibor Barna</cp:lastModifiedBy>
  <cp:revision>27</cp:revision>
  <cp:lastPrinted>2015-02-05T15:54:00Z</cp:lastPrinted>
  <dcterms:created xsi:type="dcterms:W3CDTF">2014-12-08T08:49:00Z</dcterms:created>
  <dcterms:modified xsi:type="dcterms:W3CDTF">2015-02-05T15:54:00Z</dcterms:modified>
</cp:coreProperties>
</file>